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28BD9" w14:textId="0256732E" w:rsidR="003844E2" w:rsidRPr="008D5DAD" w:rsidRDefault="003844E2" w:rsidP="003844E2">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104-</w:t>
      </w:r>
      <w:r w:rsidRPr="008D5DAD">
        <w:rPr>
          <w:b/>
          <w:noProof/>
          <w:sz w:val="24"/>
        </w:rPr>
        <w:t>e</w:t>
      </w:r>
      <w:r w:rsidRPr="008D5DAD">
        <w:rPr>
          <w:b/>
          <w:i/>
          <w:noProof/>
          <w:sz w:val="28"/>
        </w:rPr>
        <w:tab/>
      </w:r>
      <w:r w:rsidRPr="008D5DAD">
        <w:rPr>
          <w:b/>
          <w:noProof/>
          <w:sz w:val="24"/>
        </w:rPr>
        <w:t>R4-2</w:t>
      </w:r>
      <w:r>
        <w:rPr>
          <w:b/>
          <w:noProof/>
          <w:sz w:val="24"/>
        </w:rPr>
        <w:t>2</w:t>
      </w:r>
      <w:r w:rsidR="000E46D7">
        <w:rPr>
          <w:b/>
          <w:noProof/>
          <w:sz w:val="24"/>
        </w:rPr>
        <w:t>11883</w:t>
      </w:r>
    </w:p>
    <w:p w14:paraId="72EBB6A1" w14:textId="77777777" w:rsidR="003844E2" w:rsidRPr="008D5DAD" w:rsidRDefault="003844E2" w:rsidP="003844E2">
      <w:pPr>
        <w:pStyle w:val="CRCoverPage"/>
        <w:outlineLvl w:val="0"/>
        <w:rPr>
          <w:b/>
          <w:noProof/>
          <w:sz w:val="24"/>
        </w:rPr>
      </w:pPr>
      <w:r w:rsidRPr="008D5DAD">
        <w:rPr>
          <w:b/>
          <w:noProof/>
          <w:sz w:val="24"/>
        </w:rPr>
        <w:t xml:space="preserve">Electronic Meeting, </w:t>
      </w:r>
      <w:r w:rsidRPr="0090076D">
        <w:rPr>
          <w:b/>
          <w:noProof/>
          <w:sz w:val="24"/>
        </w:rPr>
        <w:t>Aug. 15 – 26</w:t>
      </w:r>
      <w:r w:rsidRPr="00FE6FBE">
        <w:rPr>
          <w:b/>
          <w:noProof/>
          <w:sz w:val="24"/>
        </w:rPr>
        <w:t>, 2022</w:t>
      </w:r>
    </w:p>
    <w:p w14:paraId="57CA4489" w14:textId="673D5A3E"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Pr>
          <w:rFonts w:ascii="Arial" w:hAnsi="Arial" w:cs="Arial"/>
          <w:b/>
          <w:sz w:val="22"/>
          <w:szCs w:val="22"/>
        </w:rPr>
        <w:t>11.8.</w:t>
      </w:r>
      <w:r w:rsidR="00EA59EF">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B665594"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Pr="003844E2">
        <w:rPr>
          <w:rFonts w:ascii="Arial" w:hAnsi="Arial" w:cs="Arial"/>
          <w:b/>
          <w:sz w:val="22"/>
          <w:szCs w:val="22"/>
        </w:rPr>
        <w:t>R</w:t>
      </w:r>
      <w:r w:rsidR="00EA59EF">
        <w:rPr>
          <w:rFonts w:ascii="Arial" w:hAnsi="Arial" w:cs="Arial"/>
          <w:b/>
          <w:sz w:val="22"/>
          <w:szCs w:val="22"/>
        </w:rPr>
        <w:t>RM</w:t>
      </w:r>
      <w:r w:rsidRPr="003844E2">
        <w:rPr>
          <w:rFonts w:ascii="Arial" w:hAnsi="Arial" w:cs="Arial"/>
          <w:b/>
          <w:sz w:val="22"/>
          <w:szCs w:val="22"/>
        </w:rPr>
        <w:t xml:space="preserve"> requirement for NR FR2 multi-Rx chain DL reception</w:t>
      </w:r>
    </w:p>
    <w:p w14:paraId="758496C3" w14:textId="7E85C99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6E2A42">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52B5588C" w14:textId="2B6DEBF5" w:rsidR="00E22E04" w:rsidRDefault="008E112D" w:rsidP="00DD03DF">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At RAN#95, the WI of </w:t>
      </w:r>
      <w:r w:rsidRPr="008E112D">
        <w:rPr>
          <w:sz w:val="20"/>
          <w:szCs w:val="20"/>
          <w:lang w:eastAsia="ja-JP"/>
        </w:rPr>
        <w:t xml:space="preserve">NR frequency range 2 (FR2) multi-Rx chain DL reception </w:t>
      </w:r>
      <w:r>
        <w:rPr>
          <w:sz w:val="20"/>
          <w:szCs w:val="20"/>
          <w:lang w:eastAsia="ja-JP"/>
        </w:rPr>
        <w:t xml:space="preserve">was approved [1], </w:t>
      </w:r>
      <w:r w:rsidR="00CB445C">
        <w:rPr>
          <w:sz w:val="20"/>
          <w:szCs w:val="20"/>
          <w:lang w:eastAsia="ja-JP"/>
        </w:rPr>
        <w:t xml:space="preserve">which was updated at RAN#96 [2]. </w:t>
      </w:r>
      <w:r w:rsidR="00EA59EF">
        <w:rPr>
          <w:sz w:val="20"/>
          <w:szCs w:val="20"/>
          <w:lang w:eastAsia="ja-JP"/>
        </w:rPr>
        <w:t xml:space="preserve">The RRM </w:t>
      </w:r>
      <w:r w:rsidR="00947F73">
        <w:rPr>
          <w:sz w:val="20"/>
          <w:szCs w:val="20"/>
          <w:lang w:eastAsia="ja-JP"/>
        </w:rPr>
        <w:t xml:space="preserve">objectives </w:t>
      </w:r>
      <w:r w:rsidR="00EA59EF">
        <w:rPr>
          <w:sz w:val="20"/>
          <w:szCs w:val="20"/>
          <w:lang w:eastAsia="ja-JP"/>
        </w:rPr>
        <w:t xml:space="preserve">are copied below </w:t>
      </w:r>
      <w:r w:rsidR="00DD18AC">
        <w:rPr>
          <w:sz w:val="20"/>
          <w:szCs w:val="20"/>
          <w:lang w:eastAsia="ja-JP"/>
        </w:rPr>
        <w:t>for easy reference</w:t>
      </w:r>
      <w:r w:rsidR="00791FEE">
        <w:rPr>
          <w:sz w:val="20"/>
          <w:szCs w:val="20"/>
          <w:lang w:eastAsia="ja-JP"/>
        </w:rPr>
        <w:t xml:space="preserve">. </w:t>
      </w:r>
      <w:r w:rsidR="00DD03DF">
        <w:rPr>
          <w:sz w:val="20"/>
          <w:szCs w:val="20"/>
          <w:lang w:eastAsia="ja-JP"/>
        </w:rPr>
        <w:t xml:space="preserve"> </w:t>
      </w:r>
    </w:p>
    <w:p w14:paraId="3301D013" w14:textId="77777777" w:rsidR="00EA59EF" w:rsidRPr="00EA59EF" w:rsidRDefault="00EA59EF" w:rsidP="00EA59EF">
      <w:pPr>
        <w:numPr>
          <w:ilvl w:val="0"/>
          <w:numId w:val="27"/>
        </w:numPr>
        <w:overflowPunct w:val="0"/>
        <w:autoSpaceDE w:val="0"/>
        <w:autoSpaceDN w:val="0"/>
        <w:adjustRightInd w:val="0"/>
        <w:textAlignment w:val="baseline"/>
        <w:rPr>
          <w:i/>
          <w:iCs/>
          <w:sz w:val="20"/>
          <w:szCs w:val="20"/>
        </w:rPr>
      </w:pPr>
      <w:r w:rsidRPr="00EA59EF">
        <w:rPr>
          <w:i/>
          <w:iCs/>
          <w:sz w:val="20"/>
          <w:szCs w:val="20"/>
        </w:rPr>
        <w:t xml:space="preserve">Introduce necessary requirement(s) for enhanced FR2-1 UEs with simultaneous DL reception from different directions with different QCL </w:t>
      </w:r>
      <w:proofErr w:type="spellStart"/>
      <w:r w:rsidRPr="00EA59EF">
        <w:rPr>
          <w:i/>
          <w:iCs/>
          <w:sz w:val="20"/>
          <w:szCs w:val="20"/>
        </w:rPr>
        <w:t>TypeD</w:t>
      </w:r>
      <w:proofErr w:type="spellEnd"/>
      <w:r w:rsidRPr="00EA59EF">
        <w:rPr>
          <w:i/>
          <w:iCs/>
          <w:sz w:val="20"/>
          <w:szCs w:val="20"/>
        </w:rPr>
        <w:t xml:space="preserve"> RSs on a single component carrier</w:t>
      </w:r>
    </w:p>
    <w:p w14:paraId="679839F9" w14:textId="77777777" w:rsidR="00EA59EF" w:rsidRPr="00EA59EF" w:rsidRDefault="00EA59EF" w:rsidP="00EA59EF">
      <w:pPr>
        <w:numPr>
          <w:ilvl w:val="1"/>
          <w:numId w:val="27"/>
        </w:numPr>
        <w:overflowPunct w:val="0"/>
        <w:autoSpaceDE w:val="0"/>
        <w:autoSpaceDN w:val="0"/>
        <w:adjustRightInd w:val="0"/>
        <w:textAlignment w:val="baseline"/>
        <w:rPr>
          <w:i/>
          <w:iCs/>
          <w:sz w:val="20"/>
          <w:szCs w:val="20"/>
        </w:rPr>
      </w:pPr>
      <w:r w:rsidRPr="00EA59EF">
        <w:rPr>
          <w:rFonts w:hint="eastAsia"/>
          <w:i/>
          <w:iCs/>
          <w:sz w:val="20"/>
          <w:szCs w:val="20"/>
        </w:rPr>
        <w:t>Enhanced R</w:t>
      </w:r>
      <w:r w:rsidRPr="00EA59EF">
        <w:rPr>
          <w:i/>
          <w:iCs/>
          <w:sz w:val="20"/>
          <w:szCs w:val="20"/>
        </w:rPr>
        <w:t>RM</w:t>
      </w:r>
      <w:r w:rsidRPr="00EA59EF">
        <w:rPr>
          <w:rFonts w:hint="eastAsia"/>
          <w:i/>
          <w:iCs/>
          <w:sz w:val="20"/>
          <w:szCs w:val="20"/>
        </w:rPr>
        <w:t xml:space="preserve"> requirements:</w:t>
      </w:r>
    </w:p>
    <w:p w14:paraId="55F4F3D3" w14:textId="77777777" w:rsidR="00EA59EF" w:rsidRPr="00EA59EF" w:rsidRDefault="00EA59EF" w:rsidP="00EA59EF">
      <w:pPr>
        <w:numPr>
          <w:ilvl w:val="2"/>
          <w:numId w:val="27"/>
        </w:numPr>
        <w:overflowPunct w:val="0"/>
        <w:autoSpaceDE w:val="0"/>
        <w:autoSpaceDN w:val="0"/>
        <w:adjustRightInd w:val="0"/>
        <w:textAlignment w:val="baseline"/>
        <w:rPr>
          <w:i/>
          <w:iCs/>
          <w:sz w:val="20"/>
          <w:szCs w:val="20"/>
        </w:rPr>
      </w:pPr>
      <w:r w:rsidRPr="00EA59EF">
        <w:rPr>
          <w:rFonts w:hint="eastAsia"/>
          <w:i/>
          <w:iCs/>
          <w:sz w:val="20"/>
          <w:szCs w:val="20"/>
          <w:lang w:eastAsia="ja-JP"/>
        </w:rPr>
        <w:t>T</w:t>
      </w:r>
      <w:r w:rsidRPr="00EA59EF">
        <w:rPr>
          <w:i/>
          <w:iCs/>
          <w:sz w:val="20"/>
          <w:szCs w:val="20"/>
          <w:lang w:eastAsia="ja-JP"/>
        </w:rPr>
        <w:t>he following requirements should be studied and specified if necessary:</w:t>
      </w:r>
    </w:p>
    <w:p w14:paraId="313AD4D9"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L1-RSRP measurement delay</w:t>
      </w:r>
    </w:p>
    <w:p w14:paraId="39045197"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L3 measurement delay (both cell detection delay and measurement period can be considered)</w:t>
      </w:r>
    </w:p>
    <w:p w14:paraId="75BACFA4" w14:textId="77777777" w:rsidR="00EA59EF" w:rsidRPr="00EA59EF" w:rsidRDefault="00EA59EF" w:rsidP="00EA59EF">
      <w:pPr>
        <w:numPr>
          <w:ilvl w:val="4"/>
          <w:numId w:val="27"/>
        </w:numPr>
        <w:overflowPunct w:val="0"/>
        <w:autoSpaceDE w:val="0"/>
        <w:autoSpaceDN w:val="0"/>
        <w:adjustRightInd w:val="0"/>
        <w:textAlignment w:val="baseline"/>
        <w:rPr>
          <w:i/>
          <w:iCs/>
          <w:sz w:val="20"/>
          <w:szCs w:val="20"/>
        </w:rPr>
      </w:pPr>
      <w:r w:rsidRPr="00EA59EF">
        <w:rPr>
          <w:i/>
          <w:iCs/>
          <w:sz w:val="20"/>
          <w:szCs w:val="20"/>
        </w:rPr>
        <w:t>The starting point is the enhancements related to L1-RSRP measurement enhancements</w:t>
      </w:r>
    </w:p>
    <w:p w14:paraId="1ABCB2DA"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RLM and BFD/CBD requirements</w:t>
      </w:r>
    </w:p>
    <w:p w14:paraId="54261ACE"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Scheduling/measurement restrictions</w:t>
      </w:r>
    </w:p>
    <w:p w14:paraId="54DF20DC"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TCI state switching delay with dual TCI</w:t>
      </w:r>
    </w:p>
    <w:p w14:paraId="0EFC7177" w14:textId="77777777" w:rsidR="00EA59EF" w:rsidRPr="00EA59EF" w:rsidRDefault="00EA59EF" w:rsidP="00EA59EF">
      <w:pPr>
        <w:numPr>
          <w:ilvl w:val="3"/>
          <w:numId w:val="27"/>
        </w:numPr>
        <w:overflowPunct w:val="0"/>
        <w:autoSpaceDE w:val="0"/>
        <w:autoSpaceDN w:val="0"/>
        <w:adjustRightInd w:val="0"/>
        <w:textAlignment w:val="baseline"/>
        <w:rPr>
          <w:i/>
          <w:iCs/>
          <w:sz w:val="20"/>
          <w:szCs w:val="20"/>
        </w:rPr>
      </w:pPr>
      <w:r w:rsidRPr="00EA59EF">
        <w:rPr>
          <w:i/>
          <w:iCs/>
          <w:sz w:val="20"/>
          <w:szCs w:val="20"/>
        </w:rPr>
        <w:t>Receive timing difference between different directions (different QCL Type D RSs)</w:t>
      </w:r>
    </w:p>
    <w:p w14:paraId="77215F26" w14:textId="77777777" w:rsidR="00DA60EC" w:rsidRPr="00DD18AC" w:rsidRDefault="00DA60EC" w:rsidP="00DA60EC">
      <w:pPr>
        <w:overflowPunct w:val="0"/>
        <w:autoSpaceDE w:val="0"/>
        <w:autoSpaceDN w:val="0"/>
        <w:adjustRightInd w:val="0"/>
        <w:ind w:left="1800"/>
        <w:textAlignment w:val="baseline"/>
        <w:rPr>
          <w:i/>
          <w:iCs/>
          <w:sz w:val="20"/>
          <w:szCs w:val="20"/>
        </w:rPr>
      </w:pPr>
    </w:p>
    <w:p w14:paraId="454200A4" w14:textId="3F0A5D2B" w:rsidR="00112A20" w:rsidRDefault="00F63709" w:rsidP="004C21DF">
      <w:pPr>
        <w:spacing w:before="100" w:beforeAutospacing="1" w:after="100" w:afterAutospacing="1"/>
      </w:pPr>
      <w:r>
        <w:rPr>
          <w:sz w:val="20"/>
          <w:szCs w:val="20"/>
        </w:rPr>
        <w:t xml:space="preserve">As this is the first RAN4 meeting, we share our views on how to start the </w:t>
      </w:r>
      <w:r w:rsidR="00EA59EF">
        <w:rPr>
          <w:sz w:val="20"/>
          <w:szCs w:val="20"/>
        </w:rPr>
        <w:t>RRM</w:t>
      </w:r>
      <w:r>
        <w:rPr>
          <w:sz w:val="20"/>
          <w:szCs w:val="20"/>
        </w:rPr>
        <w:t xml:space="preserve"> work i</w:t>
      </w:r>
      <w:r w:rsidR="00DD18AC">
        <w:rPr>
          <w:sz w:val="20"/>
          <w:szCs w:val="20"/>
        </w:rPr>
        <w:t>n this contribution</w:t>
      </w:r>
      <w:r>
        <w:rPr>
          <w:sz w:val="20"/>
          <w:szCs w:val="20"/>
        </w:rPr>
        <w:t>.</w:t>
      </w:r>
      <w:r w:rsidR="004C21DF">
        <w:rPr>
          <w:sz w:val="20"/>
          <w:szCs w:val="20"/>
        </w:rPr>
        <w:t xml:space="preserve"> </w:t>
      </w:r>
    </w:p>
    <w:p w14:paraId="42E3FB41" w14:textId="2BBF79A8" w:rsidR="004C5265" w:rsidRDefault="008E7986" w:rsidP="005037D3">
      <w:pPr>
        <w:pStyle w:val="Heading1"/>
      </w:pPr>
      <w:r>
        <w:t>2</w:t>
      </w:r>
      <w:r>
        <w:tab/>
      </w:r>
      <w:r w:rsidR="0077432F">
        <w:t>Discussion</w:t>
      </w:r>
    </w:p>
    <w:p w14:paraId="6BAAE624" w14:textId="76522217" w:rsidR="00220BF3" w:rsidRPr="00220BF3" w:rsidRDefault="00220BF3" w:rsidP="00220BF3">
      <w:pPr>
        <w:rPr>
          <w:color w:val="000000"/>
          <w:sz w:val="20"/>
          <w:szCs w:val="20"/>
        </w:rPr>
      </w:pPr>
      <w:r w:rsidRPr="00220BF3">
        <w:rPr>
          <w:color w:val="000000"/>
          <w:sz w:val="20"/>
          <w:szCs w:val="20"/>
        </w:rPr>
        <w:t xml:space="preserve">As </w:t>
      </w:r>
      <w:r>
        <w:rPr>
          <w:color w:val="000000"/>
          <w:sz w:val="20"/>
          <w:szCs w:val="20"/>
        </w:rPr>
        <w:t>clearly mentioned in the WI, “</w:t>
      </w:r>
      <w:r w:rsidRPr="00220BF3">
        <w:rPr>
          <w:color w:val="000000"/>
          <w:sz w:val="20"/>
          <w:szCs w:val="20"/>
        </w:rPr>
        <w:t>•</w:t>
      </w:r>
      <w:r w:rsidRPr="00220BF3">
        <w:rPr>
          <w:color w:val="000000"/>
          <w:sz w:val="20"/>
          <w:szCs w:val="20"/>
        </w:rPr>
        <w:tab/>
        <w:t>The following requirements should be studied and specified if necessary</w:t>
      </w:r>
      <w:r>
        <w:rPr>
          <w:color w:val="000000"/>
          <w:sz w:val="20"/>
          <w:szCs w:val="20"/>
        </w:rPr>
        <w:t>”. Before we study each individual RRM requirement, we would like to discuss t</w:t>
      </w:r>
      <w:r w:rsidR="001E2CFB">
        <w:rPr>
          <w:color w:val="000000"/>
          <w:sz w:val="20"/>
          <w:szCs w:val="20"/>
        </w:rPr>
        <w:t>wo</w:t>
      </w:r>
      <w:r>
        <w:rPr>
          <w:color w:val="000000"/>
          <w:sz w:val="20"/>
          <w:szCs w:val="20"/>
        </w:rPr>
        <w:t xml:space="preserve"> issues to seek a comm</w:t>
      </w:r>
      <w:r w:rsidR="001E2CFB">
        <w:rPr>
          <w:color w:val="000000"/>
          <w:sz w:val="20"/>
          <w:szCs w:val="20"/>
        </w:rPr>
        <w:t>on understand and agreement. If there is a consensus, it would greatly facilitate the discussion of how to specify each individual requirement.</w:t>
      </w:r>
    </w:p>
    <w:p w14:paraId="02E723DC" w14:textId="0E0358DC" w:rsidR="005273BE" w:rsidRDefault="005273BE" w:rsidP="005273BE">
      <w:pPr>
        <w:pStyle w:val="Heading2"/>
      </w:pPr>
      <w:r>
        <w:t>2.1</w:t>
      </w:r>
      <w:r w:rsidR="001E2CFB">
        <w:t xml:space="preserve"> </w:t>
      </w:r>
      <w:r w:rsidR="001E2CFB" w:rsidRPr="001E2CFB">
        <w:t>Receive timing difference between different directions (different QCL Type D RSs)</w:t>
      </w:r>
    </w:p>
    <w:p w14:paraId="3266C2AC" w14:textId="4BA83734" w:rsidR="00E67C3E" w:rsidRDefault="003B0393" w:rsidP="00B10171">
      <w:pPr>
        <w:autoSpaceDE w:val="0"/>
        <w:autoSpaceDN w:val="0"/>
        <w:adjustRightInd w:val="0"/>
        <w:jc w:val="both"/>
        <w:rPr>
          <w:color w:val="000000"/>
          <w:sz w:val="20"/>
          <w:szCs w:val="20"/>
        </w:rPr>
      </w:pPr>
      <w:r>
        <w:rPr>
          <w:color w:val="000000"/>
          <w:sz w:val="20"/>
          <w:szCs w:val="20"/>
        </w:rPr>
        <w:t xml:space="preserve">As we understand, this WI is to specify requirements for UEs with </w:t>
      </w:r>
      <w:r w:rsidRPr="003B0393">
        <w:rPr>
          <w:color w:val="000000"/>
          <w:sz w:val="20"/>
          <w:szCs w:val="20"/>
        </w:rPr>
        <w:t xml:space="preserve">simultaneous DL reception from different directions with different QCL </w:t>
      </w:r>
      <w:proofErr w:type="spellStart"/>
      <w:r w:rsidRPr="003B0393">
        <w:rPr>
          <w:color w:val="000000"/>
          <w:sz w:val="20"/>
          <w:szCs w:val="20"/>
        </w:rPr>
        <w:t>TypeD</w:t>
      </w:r>
      <w:proofErr w:type="spellEnd"/>
      <w:r w:rsidRPr="003B0393">
        <w:rPr>
          <w:color w:val="000000"/>
          <w:sz w:val="20"/>
          <w:szCs w:val="20"/>
        </w:rPr>
        <w:t xml:space="preserve"> RSs</w:t>
      </w:r>
      <w:r>
        <w:rPr>
          <w:color w:val="000000"/>
          <w:sz w:val="20"/>
          <w:szCs w:val="20"/>
        </w:rPr>
        <w:t xml:space="preserve"> for multi-TRP/multi-panel scenarios/features specified in RAN1 in R16 and R17. </w:t>
      </w:r>
      <w:r w:rsidR="00E67C3E">
        <w:rPr>
          <w:color w:val="000000"/>
          <w:sz w:val="20"/>
          <w:szCs w:val="20"/>
        </w:rPr>
        <w:t xml:space="preserve">In R16, the </w:t>
      </w:r>
      <w:r w:rsidR="00D074E7">
        <w:rPr>
          <w:color w:val="000000"/>
          <w:sz w:val="20"/>
          <w:szCs w:val="20"/>
        </w:rPr>
        <w:t xml:space="preserve">RAN1 </w:t>
      </w:r>
      <w:r w:rsidR="00E67C3E">
        <w:rPr>
          <w:color w:val="000000"/>
          <w:sz w:val="20"/>
          <w:szCs w:val="20"/>
        </w:rPr>
        <w:t xml:space="preserve">assumption for a UE to support the </w:t>
      </w:r>
      <w:r w:rsidR="00E67C3E" w:rsidRPr="00E67C3E">
        <w:rPr>
          <w:color w:val="000000"/>
          <w:sz w:val="20"/>
          <w:szCs w:val="20"/>
        </w:rPr>
        <w:t xml:space="preserve">UE capability </w:t>
      </w:r>
      <w:r w:rsidR="00E67C3E">
        <w:rPr>
          <w:color w:val="000000"/>
          <w:sz w:val="20"/>
          <w:szCs w:val="20"/>
        </w:rPr>
        <w:t>“</w:t>
      </w:r>
      <w:r w:rsidR="00E67C3E" w:rsidRPr="00E67C3E">
        <w:rPr>
          <w:color w:val="000000"/>
          <w:sz w:val="20"/>
          <w:szCs w:val="20"/>
        </w:rPr>
        <w:t>simultaneousReceptionDiffTypeD-r16</w:t>
      </w:r>
      <w:r w:rsidR="00E67C3E">
        <w:rPr>
          <w:color w:val="000000"/>
          <w:sz w:val="20"/>
          <w:szCs w:val="20"/>
        </w:rPr>
        <w:t xml:space="preserve">” is </w:t>
      </w:r>
      <w:r w:rsidR="00E67C3E" w:rsidRPr="00E67C3E">
        <w:rPr>
          <w:color w:val="000000"/>
          <w:sz w:val="20"/>
          <w:szCs w:val="20"/>
        </w:rPr>
        <w:t>the Rx timing difference for the two DL signals should be within CP</w:t>
      </w:r>
      <w:r w:rsidR="00E67C3E">
        <w:rPr>
          <w:color w:val="000000"/>
          <w:sz w:val="20"/>
          <w:szCs w:val="20"/>
        </w:rPr>
        <w:t xml:space="preserve">. </w:t>
      </w:r>
      <w:r w:rsidR="00D074E7">
        <w:rPr>
          <w:color w:val="000000"/>
          <w:sz w:val="20"/>
          <w:szCs w:val="20"/>
        </w:rPr>
        <w:t xml:space="preserve">In R17, RAN1 </w:t>
      </w:r>
      <w:r w:rsidR="00D074E7" w:rsidRPr="00D074E7">
        <w:rPr>
          <w:color w:val="000000"/>
          <w:sz w:val="20"/>
          <w:szCs w:val="20"/>
        </w:rPr>
        <w:t>ke</w:t>
      </w:r>
      <w:r w:rsidR="00D074E7">
        <w:rPr>
          <w:color w:val="000000"/>
          <w:sz w:val="20"/>
          <w:szCs w:val="20"/>
        </w:rPr>
        <w:t>pt</w:t>
      </w:r>
      <w:r w:rsidR="00D074E7" w:rsidRPr="00D074E7">
        <w:rPr>
          <w:color w:val="000000"/>
          <w:sz w:val="20"/>
          <w:szCs w:val="20"/>
        </w:rPr>
        <w:t xml:space="preserve"> the same assumption for inter-cell </w:t>
      </w:r>
      <w:proofErr w:type="spellStart"/>
      <w:r w:rsidR="00D074E7" w:rsidRPr="00D074E7">
        <w:rPr>
          <w:color w:val="000000"/>
          <w:sz w:val="20"/>
          <w:szCs w:val="20"/>
        </w:rPr>
        <w:t>mTRP</w:t>
      </w:r>
      <w:proofErr w:type="spellEnd"/>
      <w:r w:rsidR="00D074E7">
        <w:rPr>
          <w:color w:val="000000"/>
          <w:sz w:val="20"/>
          <w:szCs w:val="20"/>
        </w:rPr>
        <w:t>.</w:t>
      </w:r>
    </w:p>
    <w:p w14:paraId="0F5AA594" w14:textId="238ED085" w:rsidR="00A41D34" w:rsidRDefault="00A41D34" w:rsidP="00B10171">
      <w:pPr>
        <w:autoSpaceDE w:val="0"/>
        <w:autoSpaceDN w:val="0"/>
        <w:adjustRightInd w:val="0"/>
        <w:jc w:val="both"/>
        <w:rPr>
          <w:color w:val="000000"/>
          <w:sz w:val="20"/>
          <w:szCs w:val="20"/>
        </w:rPr>
      </w:pPr>
    </w:p>
    <w:p w14:paraId="38E2492C" w14:textId="360163FE" w:rsidR="00A41D34" w:rsidRDefault="00A41D34" w:rsidP="00B10171">
      <w:pPr>
        <w:autoSpaceDE w:val="0"/>
        <w:autoSpaceDN w:val="0"/>
        <w:adjustRightInd w:val="0"/>
        <w:jc w:val="both"/>
        <w:rPr>
          <w:color w:val="000000"/>
          <w:sz w:val="20"/>
          <w:szCs w:val="20"/>
        </w:rPr>
      </w:pPr>
      <w:r>
        <w:rPr>
          <w:color w:val="000000"/>
          <w:sz w:val="20"/>
          <w:szCs w:val="20"/>
        </w:rPr>
        <w:t>Similarly, i</w:t>
      </w:r>
      <w:r w:rsidRPr="00A41D34">
        <w:rPr>
          <w:color w:val="000000"/>
          <w:sz w:val="20"/>
          <w:szCs w:val="20"/>
        </w:rPr>
        <w:t xml:space="preserve">n Rel-16 </w:t>
      </w:r>
      <w:proofErr w:type="spellStart"/>
      <w:r w:rsidRPr="00A41D34">
        <w:rPr>
          <w:color w:val="000000"/>
          <w:sz w:val="20"/>
          <w:szCs w:val="20"/>
        </w:rPr>
        <w:t>eMIMO</w:t>
      </w:r>
      <w:proofErr w:type="spellEnd"/>
      <w:r w:rsidRPr="00A41D34">
        <w:rPr>
          <w:color w:val="000000"/>
          <w:sz w:val="20"/>
          <w:szCs w:val="20"/>
        </w:rPr>
        <w:t xml:space="preserve"> </w:t>
      </w:r>
      <w:proofErr w:type="spellStart"/>
      <w:r w:rsidRPr="00A41D34">
        <w:rPr>
          <w:color w:val="000000"/>
          <w:sz w:val="20"/>
          <w:szCs w:val="20"/>
        </w:rPr>
        <w:t>mTRP</w:t>
      </w:r>
      <w:proofErr w:type="spellEnd"/>
      <w:r w:rsidRPr="00A41D34">
        <w:rPr>
          <w:color w:val="000000"/>
          <w:sz w:val="20"/>
          <w:szCs w:val="20"/>
        </w:rPr>
        <w:t xml:space="preserve"> and Rel-17 inter-cell </w:t>
      </w:r>
      <w:proofErr w:type="spellStart"/>
      <w:r w:rsidRPr="00A41D34">
        <w:rPr>
          <w:color w:val="000000"/>
          <w:sz w:val="20"/>
          <w:szCs w:val="20"/>
        </w:rPr>
        <w:t>mTRP</w:t>
      </w:r>
      <w:proofErr w:type="spellEnd"/>
      <w:r w:rsidRPr="00A41D34">
        <w:rPr>
          <w:color w:val="000000"/>
          <w:sz w:val="20"/>
          <w:szCs w:val="20"/>
        </w:rPr>
        <w:t xml:space="preserve">, the assumption is that signals (i.e., 2 PDSCHs </w:t>
      </w:r>
      <w:proofErr w:type="spellStart"/>
      <w:r w:rsidRPr="00A41D34">
        <w:rPr>
          <w:color w:val="000000"/>
          <w:sz w:val="20"/>
          <w:szCs w:val="20"/>
        </w:rPr>
        <w:t>QCLed</w:t>
      </w:r>
      <w:proofErr w:type="spellEnd"/>
      <w:r w:rsidRPr="00A41D34">
        <w:rPr>
          <w:color w:val="000000"/>
          <w:sz w:val="20"/>
          <w:szCs w:val="20"/>
        </w:rPr>
        <w:t xml:space="preserve"> to different SSB/TRS) arrive at UE within CP. </w:t>
      </w:r>
    </w:p>
    <w:p w14:paraId="6E65D592" w14:textId="53BF3B1F" w:rsidR="00A41D34" w:rsidRDefault="00A41D34" w:rsidP="00B10171">
      <w:pPr>
        <w:autoSpaceDE w:val="0"/>
        <w:autoSpaceDN w:val="0"/>
        <w:adjustRightInd w:val="0"/>
        <w:jc w:val="both"/>
        <w:rPr>
          <w:color w:val="000000"/>
          <w:sz w:val="20"/>
          <w:szCs w:val="20"/>
        </w:rPr>
      </w:pPr>
    </w:p>
    <w:p w14:paraId="6A4C027B" w14:textId="095D59F4" w:rsidR="00A41D34" w:rsidRDefault="00A41D34" w:rsidP="00A41D34">
      <w:pPr>
        <w:autoSpaceDE w:val="0"/>
        <w:autoSpaceDN w:val="0"/>
        <w:adjustRightInd w:val="0"/>
        <w:jc w:val="both"/>
        <w:rPr>
          <w:color w:val="000000"/>
          <w:sz w:val="20"/>
          <w:szCs w:val="20"/>
        </w:rPr>
      </w:pPr>
      <w:r>
        <w:rPr>
          <w:color w:val="000000"/>
          <w:sz w:val="20"/>
          <w:szCs w:val="20"/>
        </w:rPr>
        <w:t xml:space="preserve">It is important to note that the RAN1 and RAN4 assumptions were made by considering </w:t>
      </w:r>
      <w:r w:rsidR="00235941">
        <w:rPr>
          <w:color w:val="000000"/>
          <w:sz w:val="20"/>
          <w:szCs w:val="20"/>
        </w:rPr>
        <w:t>both i</w:t>
      </w:r>
      <w:r w:rsidRPr="00A41D34">
        <w:rPr>
          <w:color w:val="000000"/>
          <w:sz w:val="20"/>
          <w:szCs w:val="20"/>
        </w:rPr>
        <w:t>mpact on UE complexity</w:t>
      </w:r>
      <w:r w:rsidR="00235941">
        <w:rPr>
          <w:color w:val="000000"/>
          <w:sz w:val="20"/>
          <w:szCs w:val="20"/>
        </w:rPr>
        <w:t xml:space="preserve"> and UE reception performance. On UE complexity, i</w:t>
      </w:r>
      <w:r w:rsidRPr="00A41D34">
        <w:rPr>
          <w:color w:val="000000"/>
          <w:sz w:val="20"/>
          <w:szCs w:val="20"/>
        </w:rPr>
        <w:t xml:space="preserve">f there </w:t>
      </w:r>
      <w:proofErr w:type="gramStart"/>
      <w:r w:rsidRPr="00A41D34">
        <w:rPr>
          <w:color w:val="000000"/>
          <w:sz w:val="20"/>
          <w:szCs w:val="20"/>
        </w:rPr>
        <w:t>is</w:t>
      </w:r>
      <w:proofErr w:type="gramEnd"/>
      <w:r w:rsidRPr="00A41D34">
        <w:rPr>
          <w:color w:val="000000"/>
          <w:sz w:val="20"/>
          <w:szCs w:val="20"/>
        </w:rPr>
        <w:t xml:space="preserve"> no good time synchronizations between two different TRPs, </w:t>
      </w:r>
      <w:r w:rsidR="00235941">
        <w:rPr>
          <w:color w:val="000000"/>
          <w:sz w:val="20"/>
          <w:szCs w:val="20"/>
        </w:rPr>
        <w:t xml:space="preserve">the </w:t>
      </w:r>
      <w:r w:rsidRPr="00A41D34">
        <w:rPr>
          <w:color w:val="000000"/>
          <w:sz w:val="20"/>
          <w:szCs w:val="20"/>
        </w:rPr>
        <w:t>UE needs to maintain separate time tracking for each TRP</w:t>
      </w:r>
      <w:r w:rsidR="00235941">
        <w:rPr>
          <w:color w:val="000000"/>
          <w:sz w:val="20"/>
          <w:szCs w:val="20"/>
        </w:rPr>
        <w:t xml:space="preserve">. And if the UE needs to measure more TRPs, for instance up to 8 TRPs can </w:t>
      </w:r>
      <w:r w:rsidRPr="00A41D34">
        <w:rPr>
          <w:color w:val="000000"/>
          <w:sz w:val="20"/>
          <w:szCs w:val="20"/>
        </w:rPr>
        <w:t xml:space="preserve">be configured to </w:t>
      </w:r>
      <w:r w:rsidR="00235941">
        <w:rPr>
          <w:color w:val="000000"/>
          <w:sz w:val="20"/>
          <w:szCs w:val="20"/>
        </w:rPr>
        <w:t xml:space="preserve">the UE </w:t>
      </w:r>
      <w:r w:rsidRPr="00A41D34">
        <w:rPr>
          <w:color w:val="000000"/>
          <w:sz w:val="20"/>
          <w:szCs w:val="20"/>
        </w:rPr>
        <w:t>for measuring L1-RSRP</w:t>
      </w:r>
      <w:r w:rsidR="00235941">
        <w:rPr>
          <w:color w:val="000000"/>
          <w:sz w:val="20"/>
          <w:szCs w:val="20"/>
        </w:rPr>
        <w:t xml:space="preserve">, the complexity would be very high. Furthermore, </w:t>
      </w:r>
      <w:r w:rsidR="00285890">
        <w:rPr>
          <w:color w:val="000000"/>
          <w:sz w:val="20"/>
          <w:szCs w:val="20"/>
        </w:rPr>
        <w:t>the UE would have to support two FFT operation. On UE performance, if the r</w:t>
      </w:r>
      <w:r w:rsidR="00285890" w:rsidRPr="00285890">
        <w:rPr>
          <w:color w:val="000000"/>
          <w:sz w:val="20"/>
          <w:szCs w:val="20"/>
        </w:rPr>
        <w:t xml:space="preserve">eceive timing difference between different directions </w:t>
      </w:r>
      <w:r w:rsidR="00285890">
        <w:rPr>
          <w:color w:val="000000"/>
          <w:sz w:val="20"/>
          <w:szCs w:val="20"/>
        </w:rPr>
        <w:t xml:space="preserve">is not within CP, there is </w:t>
      </w:r>
      <w:r w:rsidRPr="00A41D34">
        <w:rPr>
          <w:color w:val="000000"/>
          <w:sz w:val="20"/>
          <w:szCs w:val="20"/>
        </w:rPr>
        <w:t>ICI between tones from different TRPs</w:t>
      </w:r>
      <w:r w:rsidR="00285890">
        <w:rPr>
          <w:color w:val="000000"/>
          <w:sz w:val="20"/>
          <w:szCs w:val="20"/>
        </w:rPr>
        <w:t>, which will degrade UE demodulation performance.</w:t>
      </w:r>
    </w:p>
    <w:p w14:paraId="612E7ACE" w14:textId="77777777" w:rsidR="00E67C3E" w:rsidRDefault="00E67C3E" w:rsidP="00B10171">
      <w:pPr>
        <w:autoSpaceDE w:val="0"/>
        <w:autoSpaceDN w:val="0"/>
        <w:adjustRightInd w:val="0"/>
        <w:jc w:val="both"/>
        <w:rPr>
          <w:color w:val="000000"/>
          <w:sz w:val="20"/>
          <w:szCs w:val="20"/>
        </w:rPr>
      </w:pPr>
    </w:p>
    <w:p w14:paraId="248EF9CC" w14:textId="4FA370E8" w:rsidR="004E7F50" w:rsidRDefault="00285890" w:rsidP="00285890">
      <w:pPr>
        <w:autoSpaceDE w:val="0"/>
        <w:autoSpaceDN w:val="0"/>
        <w:adjustRightInd w:val="0"/>
        <w:jc w:val="both"/>
        <w:rPr>
          <w:color w:val="000000"/>
          <w:sz w:val="20"/>
          <w:szCs w:val="20"/>
        </w:rPr>
      </w:pPr>
      <w:r>
        <w:rPr>
          <w:color w:val="000000"/>
          <w:sz w:val="20"/>
          <w:szCs w:val="20"/>
        </w:rPr>
        <w:t>Therefore</w:t>
      </w:r>
      <w:r w:rsidR="003B0393">
        <w:rPr>
          <w:color w:val="000000"/>
          <w:sz w:val="20"/>
          <w:szCs w:val="20"/>
        </w:rPr>
        <w:t xml:space="preserve">, </w:t>
      </w:r>
      <w:r w:rsidR="00AE6124">
        <w:rPr>
          <w:color w:val="000000"/>
          <w:sz w:val="20"/>
          <w:szCs w:val="20"/>
        </w:rPr>
        <w:t xml:space="preserve">we should </w:t>
      </w:r>
      <w:r>
        <w:rPr>
          <w:color w:val="000000"/>
          <w:sz w:val="20"/>
          <w:szCs w:val="20"/>
        </w:rPr>
        <w:t xml:space="preserve">continue to </w:t>
      </w:r>
      <w:r w:rsidR="00AE6124">
        <w:rPr>
          <w:color w:val="000000"/>
          <w:sz w:val="20"/>
          <w:szCs w:val="20"/>
        </w:rPr>
        <w:t xml:space="preserve">follow the </w:t>
      </w:r>
      <w:r w:rsidR="007D48CC">
        <w:rPr>
          <w:color w:val="000000"/>
          <w:sz w:val="20"/>
          <w:szCs w:val="20"/>
        </w:rPr>
        <w:t>RAN1</w:t>
      </w:r>
      <w:r w:rsidR="00A41D34">
        <w:rPr>
          <w:color w:val="000000"/>
          <w:sz w:val="20"/>
          <w:szCs w:val="20"/>
        </w:rPr>
        <w:t xml:space="preserve"> and RAN4</w:t>
      </w:r>
      <w:r w:rsidR="007D48CC">
        <w:rPr>
          <w:color w:val="000000"/>
          <w:sz w:val="20"/>
          <w:szCs w:val="20"/>
        </w:rPr>
        <w:t xml:space="preserve"> assumption</w:t>
      </w:r>
      <w:r w:rsidR="00A41D34">
        <w:rPr>
          <w:color w:val="000000"/>
          <w:sz w:val="20"/>
          <w:szCs w:val="20"/>
        </w:rPr>
        <w:t>s in this WI</w:t>
      </w:r>
      <w:r w:rsidR="007D48CC">
        <w:rPr>
          <w:color w:val="000000"/>
          <w:sz w:val="20"/>
          <w:szCs w:val="20"/>
        </w:rPr>
        <w:t xml:space="preserve">. </w:t>
      </w:r>
    </w:p>
    <w:p w14:paraId="370734AC" w14:textId="2A7C74BD" w:rsidR="00E40560" w:rsidRDefault="00E40560" w:rsidP="00B10171">
      <w:pPr>
        <w:autoSpaceDE w:val="0"/>
        <w:autoSpaceDN w:val="0"/>
        <w:adjustRightInd w:val="0"/>
        <w:jc w:val="both"/>
        <w:rPr>
          <w:color w:val="000000"/>
          <w:sz w:val="20"/>
          <w:szCs w:val="20"/>
        </w:rPr>
      </w:pPr>
    </w:p>
    <w:p w14:paraId="5F00AFC8" w14:textId="290E7AED" w:rsidR="00E40560" w:rsidRDefault="00E40560" w:rsidP="00E40560">
      <w:pPr>
        <w:spacing w:before="100" w:beforeAutospacing="1" w:after="100"/>
        <w:rPr>
          <w:b/>
          <w:bCs/>
          <w:i/>
          <w:iCs/>
          <w:sz w:val="20"/>
          <w:szCs w:val="20"/>
        </w:rPr>
      </w:pPr>
      <w:r w:rsidRPr="004E0E90">
        <w:rPr>
          <w:b/>
          <w:bCs/>
          <w:i/>
          <w:iCs/>
          <w:sz w:val="20"/>
          <w:szCs w:val="20"/>
        </w:rPr>
        <w:t xml:space="preserve">Proposal 1: </w:t>
      </w:r>
      <w:r w:rsidR="00285890">
        <w:rPr>
          <w:b/>
          <w:bCs/>
          <w:i/>
          <w:iCs/>
          <w:sz w:val="20"/>
          <w:szCs w:val="20"/>
        </w:rPr>
        <w:t>T</w:t>
      </w:r>
      <w:r w:rsidR="00285890" w:rsidRPr="00285890">
        <w:rPr>
          <w:b/>
          <w:bCs/>
          <w:i/>
          <w:iCs/>
          <w:sz w:val="20"/>
          <w:szCs w:val="20"/>
        </w:rPr>
        <w:t>he receive timing difference between different directions is within CP</w:t>
      </w:r>
      <w:r w:rsidR="00285890">
        <w:rPr>
          <w:b/>
          <w:bCs/>
          <w:i/>
          <w:iCs/>
          <w:sz w:val="20"/>
          <w:szCs w:val="20"/>
        </w:rPr>
        <w:t>.</w:t>
      </w:r>
    </w:p>
    <w:p w14:paraId="5C44D1F6" w14:textId="16B982F0" w:rsidR="00947ADF" w:rsidRDefault="00947ADF" w:rsidP="00B10171">
      <w:pPr>
        <w:autoSpaceDE w:val="0"/>
        <w:autoSpaceDN w:val="0"/>
        <w:adjustRightInd w:val="0"/>
        <w:jc w:val="both"/>
        <w:rPr>
          <w:color w:val="000000"/>
          <w:sz w:val="20"/>
          <w:szCs w:val="20"/>
        </w:rPr>
      </w:pPr>
    </w:p>
    <w:p w14:paraId="6FA0BB7A" w14:textId="34A3B47C" w:rsidR="00FA65D0" w:rsidRDefault="00FA65D0" w:rsidP="008559EF">
      <w:pPr>
        <w:pStyle w:val="Heading2"/>
      </w:pPr>
      <w:r>
        <w:t xml:space="preserve">2.2 </w:t>
      </w:r>
      <w:r w:rsidR="00CB4F7A" w:rsidRPr="00CB4F7A">
        <w:t>UE implementation constraints</w:t>
      </w:r>
    </w:p>
    <w:p w14:paraId="4B13243B" w14:textId="5CD7BB97" w:rsidR="00F21696" w:rsidRDefault="00B64997" w:rsidP="00B64997">
      <w:pPr>
        <w:rPr>
          <w:color w:val="000000"/>
          <w:sz w:val="20"/>
          <w:szCs w:val="20"/>
        </w:rPr>
      </w:pPr>
      <w:r>
        <w:rPr>
          <w:color w:val="000000"/>
          <w:sz w:val="20"/>
          <w:szCs w:val="20"/>
        </w:rPr>
        <w:t xml:space="preserve">The next issue is when the </w:t>
      </w:r>
      <w:r w:rsidRPr="00B64997">
        <w:rPr>
          <w:color w:val="000000"/>
          <w:sz w:val="20"/>
          <w:szCs w:val="20"/>
        </w:rPr>
        <w:t xml:space="preserve">MRTD is within CP, </w:t>
      </w:r>
      <w:r>
        <w:rPr>
          <w:color w:val="000000"/>
          <w:sz w:val="20"/>
          <w:szCs w:val="20"/>
        </w:rPr>
        <w:t xml:space="preserve">can we assume </w:t>
      </w:r>
      <w:r w:rsidRPr="00B64997">
        <w:rPr>
          <w:color w:val="000000"/>
          <w:sz w:val="20"/>
          <w:szCs w:val="20"/>
        </w:rPr>
        <w:t xml:space="preserve">a UE with simultaneous RX capability </w:t>
      </w:r>
      <w:r>
        <w:rPr>
          <w:color w:val="000000"/>
          <w:sz w:val="20"/>
          <w:szCs w:val="20"/>
        </w:rPr>
        <w:t xml:space="preserve">is </w:t>
      </w:r>
      <w:r w:rsidRPr="00B64997">
        <w:rPr>
          <w:color w:val="000000"/>
          <w:sz w:val="20"/>
          <w:szCs w:val="20"/>
        </w:rPr>
        <w:t xml:space="preserve">always able to use the two panels to </w:t>
      </w:r>
      <w:r w:rsidR="005E683B">
        <w:rPr>
          <w:color w:val="000000"/>
          <w:sz w:val="20"/>
          <w:szCs w:val="20"/>
        </w:rPr>
        <w:t xml:space="preserve">simultaneously </w:t>
      </w:r>
      <w:r w:rsidRPr="00B64997">
        <w:rPr>
          <w:color w:val="000000"/>
          <w:sz w:val="20"/>
          <w:szCs w:val="20"/>
        </w:rPr>
        <w:t xml:space="preserve">conduct L3 and L1 measurements </w:t>
      </w:r>
      <w:r w:rsidR="005E683B">
        <w:rPr>
          <w:color w:val="000000"/>
          <w:sz w:val="20"/>
          <w:szCs w:val="20"/>
        </w:rPr>
        <w:t xml:space="preserve">of two TRPs </w:t>
      </w:r>
      <w:r w:rsidRPr="00B64997">
        <w:rPr>
          <w:color w:val="000000"/>
          <w:sz w:val="20"/>
          <w:szCs w:val="20"/>
        </w:rPr>
        <w:t xml:space="preserve">to realize </w:t>
      </w:r>
      <w:r>
        <w:rPr>
          <w:color w:val="000000"/>
          <w:sz w:val="20"/>
          <w:szCs w:val="20"/>
        </w:rPr>
        <w:t>gains such as r</w:t>
      </w:r>
      <w:r w:rsidRPr="00B64997">
        <w:rPr>
          <w:color w:val="000000"/>
          <w:sz w:val="20"/>
          <w:szCs w:val="20"/>
        </w:rPr>
        <w:t>educed measurement delay</w:t>
      </w:r>
      <w:r>
        <w:rPr>
          <w:color w:val="000000"/>
          <w:sz w:val="20"/>
          <w:szCs w:val="20"/>
        </w:rPr>
        <w:t xml:space="preserve"> and/or l</w:t>
      </w:r>
      <w:r w:rsidRPr="00B64997">
        <w:rPr>
          <w:color w:val="000000"/>
          <w:sz w:val="20"/>
          <w:szCs w:val="20"/>
        </w:rPr>
        <w:t xml:space="preserve">ess scheduling/measurement restriction? </w:t>
      </w:r>
      <w:r w:rsidR="001B2337">
        <w:rPr>
          <w:color w:val="000000"/>
          <w:sz w:val="20"/>
          <w:szCs w:val="20"/>
        </w:rPr>
        <w:t>To answer this question, we need to look at possible UE constraints.</w:t>
      </w:r>
    </w:p>
    <w:p w14:paraId="389B38A1" w14:textId="35D84CEF" w:rsidR="00287B8F" w:rsidRDefault="00287B8F" w:rsidP="00FB56EC">
      <w:pPr>
        <w:rPr>
          <w:color w:val="000000"/>
          <w:sz w:val="20"/>
          <w:szCs w:val="20"/>
        </w:rPr>
      </w:pPr>
    </w:p>
    <w:p w14:paraId="0472ECCB" w14:textId="6E1014AE" w:rsidR="001B2337" w:rsidRPr="00DD7EA0" w:rsidRDefault="001B2337" w:rsidP="001B2337">
      <w:pPr>
        <w:rPr>
          <w:b/>
          <w:bCs/>
          <w:color w:val="000000"/>
          <w:sz w:val="20"/>
          <w:szCs w:val="20"/>
        </w:rPr>
      </w:pPr>
      <w:r w:rsidRPr="00DD7EA0">
        <w:rPr>
          <w:b/>
          <w:bCs/>
          <w:color w:val="000000"/>
          <w:sz w:val="20"/>
          <w:szCs w:val="20"/>
        </w:rPr>
        <w:t>Power consumption constraint</w:t>
      </w:r>
    </w:p>
    <w:p w14:paraId="79F64ECB" w14:textId="25124FE7" w:rsidR="001B2337" w:rsidRDefault="001B2337" w:rsidP="001B2337">
      <w:pPr>
        <w:rPr>
          <w:color w:val="000000"/>
          <w:sz w:val="20"/>
          <w:szCs w:val="20"/>
        </w:rPr>
      </w:pPr>
      <w:r>
        <w:rPr>
          <w:color w:val="000000"/>
          <w:sz w:val="20"/>
          <w:szCs w:val="20"/>
        </w:rPr>
        <w:t xml:space="preserve">If the UE needs to activate two panels all the time or most of the time, UE power consumption will increase dramatically compared to the single panel case. </w:t>
      </w:r>
      <w:r w:rsidR="00791110">
        <w:rPr>
          <w:color w:val="000000"/>
          <w:sz w:val="20"/>
          <w:szCs w:val="20"/>
        </w:rPr>
        <w:t xml:space="preserve">Note that this WI is focused on </w:t>
      </w:r>
      <w:r w:rsidR="00791110" w:rsidRPr="00791110">
        <w:rPr>
          <w:color w:val="000000"/>
          <w:sz w:val="20"/>
          <w:szCs w:val="20"/>
        </w:rPr>
        <w:t>a single component carrier</w:t>
      </w:r>
      <w:r w:rsidR="00DD7EA0">
        <w:rPr>
          <w:color w:val="000000"/>
          <w:sz w:val="20"/>
          <w:szCs w:val="20"/>
        </w:rPr>
        <w:t xml:space="preserve">, meaning CA/DC is not considered. Otherwise, </w:t>
      </w:r>
      <w:r w:rsidR="00791110">
        <w:rPr>
          <w:color w:val="000000"/>
          <w:sz w:val="20"/>
          <w:szCs w:val="20"/>
        </w:rPr>
        <w:t xml:space="preserve">the power consumption is </w:t>
      </w:r>
      <w:r w:rsidR="00DD7EA0">
        <w:rPr>
          <w:color w:val="000000"/>
          <w:sz w:val="20"/>
          <w:szCs w:val="20"/>
        </w:rPr>
        <w:t xml:space="preserve">expected to be even </w:t>
      </w:r>
      <w:r w:rsidR="00791110">
        <w:rPr>
          <w:color w:val="000000"/>
          <w:sz w:val="20"/>
          <w:szCs w:val="20"/>
        </w:rPr>
        <w:t>high</w:t>
      </w:r>
      <w:r w:rsidR="00DD7EA0">
        <w:rPr>
          <w:color w:val="000000"/>
          <w:sz w:val="20"/>
          <w:szCs w:val="20"/>
        </w:rPr>
        <w:t>er</w:t>
      </w:r>
      <w:r w:rsidR="00791110">
        <w:rPr>
          <w:color w:val="000000"/>
          <w:sz w:val="20"/>
          <w:szCs w:val="20"/>
        </w:rPr>
        <w:t>.</w:t>
      </w:r>
    </w:p>
    <w:p w14:paraId="4A9015B4" w14:textId="77777777" w:rsidR="00DD7EA0" w:rsidRPr="001B2337" w:rsidRDefault="00DD7EA0" w:rsidP="001B2337">
      <w:pPr>
        <w:rPr>
          <w:color w:val="000000"/>
          <w:sz w:val="20"/>
          <w:szCs w:val="20"/>
        </w:rPr>
      </w:pPr>
    </w:p>
    <w:p w14:paraId="47F2DE25" w14:textId="77777777" w:rsidR="001B2337" w:rsidRPr="00DD7EA0" w:rsidRDefault="001B2337" w:rsidP="001B2337">
      <w:pPr>
        <w:rPr>
          <w:b/>
          <w:bCs/>
          <w:color w:val="000000"/>
          <w:sz w:val="20"/>
          <w:szCs w:val="20"/>
        </w:rPr>
      </w:pPr>
      <w:r w:rsidRPr="00DD7EA0">
        <w:rPr>
          <w:b/>
          <w:bCs/>
          <w:color w:val="000000"/>
          <w:sz w:val="20"/>
          <w:szCs w:val="20"/>
        </w:rPr>
        <w:t>RF constraints</w:t>
      </w:r>
    </w:p>
    <w:p w14:paraId="1E400B88" w14:textId="77777777" w:rsidR="000C1B24" w:rsidRDefault="00DD7EA0" w:rsidP="001B2337">
      <w:pPr>
        <w:rPr>
          <w:color w:val="000000"/>
          <w:sz w:val="20"/>
          <w:szCs w:val="20"/>
        </w:rPr>
      </w:pPr>
      <w:r>
        <w:rPr>
          <w:color w:val="000000"/>
          <w:sz w:val="20"/>
          <w:szCs w:val="20"/>
        </w:rPr>
        <w:t xml:space="preserve">When the two </w:t>
      </w:r>
      <w:proofErr w:type="spellStart"/>
      <w:r>
        <w:rPr>
          <w:color w:val="000000"/>
          <w:sz w:val="20"/>
          <w:szCs w:val="20"/>
        </w:rPr>
        <w:t>AoAs</w:t>
      </w:r>
      <w:proofErr w:type="spellEnd"/>
      <w:r>
        <w:rPr>
          <w:color w:val="000000"/>
          <w:sz w:val="20"/>
          <w:szCs w:val="20"/>
        </w:rPr>
        <w:t xml:space="preserve"> are close to each other in the angular domain, the UE may not be able to receive both with two panels. In this case, </w:t>
      </w:r>
      <w:r w:rsidR="001B2337" w:rsidRPr="001B2337">
        <w:rPr>
          <w:color w:val="000000"/>
          <w:sz w:val="20"/>
          <w:szCs w:val="20"/>
        </w:rPr>
        <w:t xml:space="preserve">simultaneous RX </w:t>
      </w:r>
      <w:r>
        <w:rPr>
          <w:color w:val="000000"/>
          <w:sz w:val="20"/>
          <w:szCs w:val="20"/>
        </w:rPr>
        <w:t xml:space="preserve">does not work. While we think this constraint </w:t>
      </w:r>
      <w:r w:rsidR="001B2337" w:rsidRPr="001B2337">
        <w:rPr>
          <w:color w:val="000000"/>
          <w:sz w:val="20"/>
          <w:szCs w:val="20"/>
        </w:rPr>
        <w:t xml:space="preserve">should be </w:t>
      </w:r>
      <w:r>
        <w:rPr>
          <w:color w:val="000000"/>
          <w:sz w:val="20"/>
          <w:szCs w:val="20"/>
        </w:rPr>
        <w:t xml:space="preserve">considered and reflected </w:t>
      </w:r>
      <w:r w:rsidR="001B2337" w:rsidRPr="001B2337">
        <w:rPr>
          <w:color w:val="000000"/>
          <w:sz w:val="20"/>
          <w:szCs w:val="20"/>
        </w:rPr>
        <w:t xml:space="preserve">in </w:t>
      </w:r>
      <w:r>
        <w:rPr>
          <w:color w:val="000000"/>
          <w:sz w:val="20"/>
          <w:szCs w:val="20"/>
        </w:rPr>
        <w:t xml:space="preserve">the discussion on </w:t>
      </w:r>
      <w:r w:rsidR="001B2337" w:rsidRPr="001B2337">
        <w:rPr>
          <w:color w:val="000000"/>
          <w:sz w:val="20"/>
          <w:szCs w:val="20"/>
        </w:rPr>
        <w:t>RF EIS spherical coverage requirement</w:t>
      </w:r>
      <w:r>
        <w:rPr>
          <w:color w:val="000000"/>
          <w:sz w:val="20"/>
          <w:szCs w:val="20"/>
        </w:rPr>
        <w:t xml:space="preserve">, it will also affect the RRM requirements. </w:t>
      </w:r>
      <w:r w:rsidR="000C1B24">
        <w:rPr>
          <w:color w:val="000000"/>
          <w:sz w:val="20"/>
          <w:szCs w:val="20"/>
        </w:rPr>
        <w:t>As a result, the RRM requirements should also take it into account.</w:t>
      </w:r>
    </w:p>
    <w:p w14:paraId="189CE35E" w14:textId="07107AB4" w:rsidR="001B2337" w:rsidRPr="001B2337" w:rsidRDefault="001B2337" w:rsidP="001B2337">
      <w:pPr>
        <w:rPr>
          <w:color w:val="000000"/>
          <w:sz w:val="20"/>
          <w:szCs w:val="20"/>
        </w:rPr>
      </w:pPr>
      <w:r w:rsidRPr="001B2337">
        <w:rPr>
          <w:color w:val="000000"/>
          <w:sz w:val="20"/>
          <w:szCs w:val="20"/>
        </w:rPr>
        <w:t xml:space="preserve"> </w:t>
      </w:r>
    </w:p>
    <w:p w14:paraId="55CB439F" w14:textId="77777777" w:rsidR="001B2337" w:rsidRPr="000C1B24" w:rsidRDefault="001B2337" w:rsidP="001B2337">
      <w:pPr>
        <w:rPr>
          <w:b/>
          <w:bCs/>
          <w:color w:val="000000"/>
          <w:sz w:val="20"/>
          <w:szCs w:val="20"/>
        </w:rPr>
      </w:pPr>
      <w:r w:rsidRPr="000C1B24">
        <w:rPr>
          <w:b/>
          <w:bCs/>
          <w:color w:val="000000"/>
          <w:sz w:val="20"/>
          <w:szCs w:val="20"/>
        </w:rPr>
        <w:t>BB constraints</w:t>
      </w:r>
    </w:p>
    <w:p w14:paraId="71EE069F" w14:textId="7D26C547" w:rsidR="001B2337" w:rsidRDefault="000C1B24" w:rsidP="001B2337">
      <w:pPr>
        <w:rPr>
          <w:color w:val="000000"/>
          <w:sz w:val="20"/>
          <w:szCs w:val="20"/>
        </w:rPr>
      </w:pPr>
      <w:r>
        <w:rPr>
          <w:color w:val="000000"/>
          <w:sz w:val="20"/>
          <w:szCs w:val="20"/>
        </w:rPr>
        <w:t xml:space="preserve">On the BB side, constraints such as </w:t>
      </w:r>
      <w:r w:rsidR="001B2337" w:rsidRPr="001B2337">
        <w:rPr>
          <w:color w:val="000000"/>
          <w:sz w:val="20"/>
          <w:szCs w:val="20"/>
        </w:rPr>
        <w:t>searcher limitation, BB processing capability limitation</w:t>
      </w:r>
      <w:r>
        <w:rPr>
          <w:color w:val="000000"/>
          <w:sz w:val="20"/>
          <w:szCs w:val="20"/>
        </w:rPr>
        <w:t xml:space="preserve"> should be considered too. Again, we assume single carrier mode. Otherwise, constraints would be </w:t>
      </w:r>
      <w:r w:rsidR="002419C4">
        <w:rPr>
          <w:color w:val="000000"/>
          <w:sz w:val="20"/>
          <w:szCs w:val="20"/>
        </w:rPr>
        <w:t xml:space="preserve">more severe. </w:t>
      </w:r>
    </w:p>
    <w:p w14:paraId="536B3A64" w14:textId="77777777" w:rsidR="002419C4" w:rsidRPr="001B2337" w:rsidRDefault="002419C4" w:rsidP="001B2337">
      <w:pPr>
        <w:rPr>
          <w:color w:val="000000"/>
          <w:sz w:val="20"/>
          <w:szCs w:val="20"/>
        </w:rPr>
      </w:pPr>
    </w:p>
    <w:p w14:paraId="5A441EF4" w14:textId="7701971F" w:rsidR="001B2337" w:rsidRDefault="00685171" w:rsidP="00685171">
      <w:pPr>
        <w:rPr>
          <w:color w:val="000000"/>
          <w:sz w:val="20"/>
          <w:szCs w:val="20"/>
        </w:rPr>
      </w:pPr>
      <w:r>
        <w:rPr>
          <w:color w:val="000000"/>
          <w:sz w:val="20"/>
          <w:szCs w:val="20"/>
        </w:rPr>
        <w:t xml:space="preserve">Before RAN4 agrees to update/specify the relevant RRM requirements, it would be good to discuss how to properly deal with those constraints and agree on the conditions under which UE can operate with two active panels at the same time. </w:t>
      </w:r>
    </w:p>
    <w:p w14:paraId="3D284562" w14:textId="77777777" w:rsidR="0037264F" w:rsidRDefault="0037264F" w:rsidP="00991277">
      <w:pPr>
        <w:jc w:val="center"/>
        <w:rPr>
          <w:color w:val="000000"/>
          <w:sz w:val="20"/>
          <w:szCs w:val="20"/>
        </w:rPr>
      </w:pPr>
    </w:p>
    <w:p w14:paraId="52A0DF7E" w14:textId="498D6C60" w:rsidR="00685171" w:rsidRDefault="00685171" w:rsidP="00685171">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685171">
        <w:rPr>
          <w:b/>
          <w:bCs/>
          <w:i/>
          <w:iCs/>
          <w:sz w:val="20"/>
          <w:szCs w:val="20"/>
        </w:rPr>
        <w:t>When specifying requirements to realize possible gains such as reduced measurement delay or easing of scheduling/measurement restriction, UE implementation constraints should be considered</w:t>
      </w:r>
      <w:r>
        <w:rPr>
          <w:b/>
          <w:bCs/>
          <w:i/>
          <w:iCs/>
          <w:sz w:val="20"/>
          <w:szCs w:val="20"/>
        </w:rPr>
        <w:t>.</w:t>
      </w:r>
    </w:p>
    <w:p w14:paraId="27BE2565" w14:textId="44AD5CF9" w:rsidR="003358E2" w:rsidRDefault="003358E2" w:rsidP="002F21F4">
      <w:pPr>
        <w:autoSpaceDE w:val="0"/>
        <w:autoSpaceDN w:val="0"/>
        <w:adjustRightInd w:val="0"/>
        <w:jc w:val="both"/>
        <w:rPr>
          <w:color w:val="000000"/>
          <w:sz w:val="20"/>
          <w:szCs w:val="20"/>
        </w:rPr>
      </w:pPr>
    </w:p>
    <w:p w14:paraId="3EB89F05" w14:textId="4BB95B62" w:rsidR="00F614F2" w:rsidRPr="00435B44" w:rsidRDefault="00F614F2"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03EFB5ED" w14:textId="77777777" w:rsidR="00E834B8" w:rsidRDefault="00E834B8" w:rsidP="00E834B8">
      <w:pPr>
        <w:spacing w:before="100" w:beforeAutospacing="1" w:after="100"/>
        <w:rPr>
          <w:b/>
          <w:bCs/>
          <w:i/>
          <w:iCs/>
          <w:sz w:val="20"/>
          <w:szCs w:val="20"/>
        </w:rPr>
      </w:pPr>
      <w:r w:rsidRPr="004E0E90">
        <w:rPr>
          <w:b/>
          <w:bCs/>
          <w:i/>
          <w:iCs/>
          <w:sz w:val="20"/>
          <w:szCs w:val="20"/>
        </w:rPr>
        <w:t xml:space="preserve">Proposal 1: </w:t>
      </w:r>
      <w:r>
        <w:rPr>
          <w:b/>
          <w:bCs/>
          <w:i/>
          <w:iCs/>
          <w:sz w:val="20"/>
          <w:szCs w:val="20"/>
        </w:rPr>
        <w:t>T</w:t>
      </w:r>
      <w:r w:rsidRPr="00285890">
        <w:rPr>
          <w:b/>
          <w:bCs/>
          <w:i/>
          <w:iCs/>
          <w:sz w:val="20"/>
          <w:szCs w:val="20"/>
        </w:rPr>
        <w:t>he receive timing difference between different directions is within CP</w:t>
      </w:r>
      <w:r>
        <w:rPr>
          <w:b/>
          <w:bCs/>
          <w:i/>
          <w:iCs/>
          <w:sz w:val="20"/>
          <w:szCs w:val="20"/>
        </w:rPr>
        <w:t>.</w:t>
      </w:r>
    </w:p>
    <w:p w14:paraId="3BA7739B" w14:textId="71934671" w:rsidR="00E834B8" w:rsidRDefault="00E834B8" w:rsidP="00E834B8">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685171">
        <w:rPr>
          <w:b/>
          <w:bCs/>
          <w:i/>
          <w:iCs/>
          <w:sz w:val="20"/>
          <w:szCs w:val="20"/>
        </w:rPr>
        <w:t>When specifying requirements to realize possible gains such as reduced measurement delay or easing of scheduling/measurement restriction, UE implementation constraints should be considered</w:t>
      </w:r>
      <w:r>
        <w:rPr>
          <w:b/>
          <w:bCs/>
          <w:i/>
          <w:iCs/>
          <w:sz w:val="20"/>
          <w:szCs w:val="20"/>
        </w:rPr>
        <w:t>.</w:t>
      </w:r>
    </w:p>
    <w:p w14:paraId="4D133CD8" w14:textId="4D8B9443" w:rsidR="00276EE4" w:rsidRPr="003A0483" w:rsidRDefault="005E69AE" w:rsidP="00BC4103">
      <w:pPr>
        <w:pStyle w:val="Heading1"/>
      </w:pPr>
      <w:r>
        <w:t>4</w:t>
      </w:r>
      <w:r>
        <w:tab/>
        <w:t>References</w:t>
      </w:r>
    </w:p>
    <w:p w14:paraId="10335E92" w14:textId="09DA2EB5" w:rsidR="00821AEF" w:rsidRDefault="00F64730" w:rsidP="00276EE4">
      <w:pPr>
        <w:pStyle w:val="EX"/>
        <w:rPr>
          <w:sz w:val="20"/>
          <w:szCs w:val="20"/>
        </w:rPr>
      </w:pPr>
      <w:bookmarkStart w:id="3" w:name="_Ref31651909"/>
      <w:bookmarkStart w:id="4" w:name="_Ref13820109"/>
      <w:r w:rsidRPr="00F64730">
        <w:rPr>
          <w:sz w:val="20"/>
          <w:szCs w:val="20"/>
        </w:rPr>
        <w:t>RP-220</w:t>
      </w:r>
      <w:r w:rsidR="008E112D">
        <w:rPr>
          <w:sz w:val="20"/>
          <w:szCs w:val="20"/>
        </w:rPr>
        <w:t>974</w:t>
      </w:r>
      <w:r w:rsidR="00821AEF" w:rsidRPr="00D857BA">
        <w:rPr>
          <w:sz w:val="20"/>
          <w:szCs w:val="20"/>
        </w:rPr>
        <w:t>, "</w:t>
      </w:r>
      <w:r w:rsidR="008E112D" w:rsidRPr="008E112D">
        <w:rPr>
          <w:sz w:val="20"/>
          <w:szCs w:val="20"/>
        </w:rPr>
        <w:t>New WID: Requirement for NR frequency range 2 (FR2) multi-Rx chain DL reception</w:t>
      </w:r>
      <w:r w:rsidR="00821AEF" w:rsidRPr="00D857BA">
        <w:rPr>
          <w:sz w:val="20"/>
          <w:szCs w:val="20"/>
        </w:rPr>
        <w:t xml:space="preserve">", </w:t>
      </w:r>
      <w:bookmarkEnd w:id="3"/>
      <w:r w:rsidR="008E112D">
        <w:rPr>
          <w:sz w:val="20"/>
          <w:szCs w:val="20"/>
        </w:rPr>
        <w:t>Qualcomm</w:t>
      </w:r>
    </w:p>
    <w:p w14:paraId="50A569BD" w14:textId="14211E4A" w:rsidR="00BC4103" w:rsidRPr="00F36DC7" w:rsidRDefault="00995869" w:rsidP="00F36DC7">
      <w:pPr>
        <w:pStyle w:val="EX"/>
        <w:rPr>
          <w:sz w:val="20"/>
          <w:szCs w:val="20"/>
        </w:rPr>
      </w:pPr>
      <w:r w:rsidRPr="00F64730">
        <w:rPr>
          <w:sz w:val="20"/>
          <w:szCs w:val="20"/>
        </w:rPr>
        <w:t>RP-22</w:t>
      </w:r>
      <w:r>
        <w:rPr>
          <w:sz w:val="20"/>
          <w:szCs w:val="20"/>
        </w:rPr>
        <w:t>1753</w:t>
      </w:r>
      <w:r w:rsidRPr="00D857BA">
        <w:rPr>
          <w:sz w:val="20"/>
          <w:szCs w:val="20"/>
        </w:rPr>
        <w:t>, "</w:t>
      </w:r>
      <w:r>
        <w:rPr>
          <w:sz w:val="20"/>
          <w:szCs w:val="20"/>
        </w:rPr>
        <w:t>Revised</w:t>
      </w:r>
      <w:r w:rsidRPr="008E112D">
        <w:rPr>
          <w:sz w:val="20"/>
          <w:szCs w:val="20"/>
        </w:rPr>
        <w:t xml:space="preserve"> WID: Requirement for NR frequency range 2 (FR2) multi-Rx chain DL reception</w:t>
      </w:r>
      <w:r w:rsidRPr="00D857BA">
        <w:rPr>
          <w:sz w:val="20"/>
          <w:szCs w:val="20"/>
        </w:rPr>
        <w:t xml:space="preserve">", </w:t>
      </w:r>
      <w:r>
        <w:rPr>
          <w:sz w:val="20"/>
          <w:szCs w:val="20"/>
        </w:rPr>
        <w:t>Qualcomm</w:t>
      </w:r>
      <w:bookmarkEnd w:id="0"/>
      <w:bookmarkEnd w:id="4"/>
    </w:p>
    <w:sectPr w:rsidR="00BC410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37815" w14:textId="77777777" w:rsidR="0033419C" w:rsidRDefault="0033419C">
      <w:r>
        <w:separator/>
      </w:r>
    </w:p>
  </w:endnote>
  <w:endnote w:type="continuationSeparator" w:id="0">
    <w:p w14:paraId="4156C252" w14:textId="77777777" w:rsidR="0033419C" w:rsidRDefault="0033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8837" w14:textId="77777777" w:rsidR="0033419C" w:rsidRDefault="0033419C">
      <w:r>
        <w:separator/>
      </w:r>
    </w:p>
  </w:footnote>
  <w:footnote w:type="continuationSeparator" w:id="0">
    <w:p w14:paraId="0EEF246E" w14:textId="77777777" w:rsidR="0033419C" w:rsidRDefault="0033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8"/>
  </w:num>
  <w:num w:numId="5" w16cid:durableId="1501116029">
    <w:abstractNumId w:val="3"/>
  </w:num>
  <w:num w:numId="6" w16cid:durableId="1775780724">
    <w:abstractNumId w:val="3"/>
  </w:num>
  <w:num w:numId="7" w16cid:durableId="2004430155">
    <w:abstractNumId w:val="19"/>
  </w:num>
  <w:num w:numId="8" w16cid:durableId="820000239">
    <w:abstractNumId w:val="6"/>
  </w:num>
  <w:num w:numId="9" w16cid:durableId="1418207271">
    <w:abstractNumId w:val="23"/>
  </w:num>
  <w:num w:numId="10" w16cid:durableId="1583371418">
    <w:abstractNumId w:val="27"/>
  </w:num>
  <w:num w:numId="11" w16cid:durableId="654532386">
    <w:abstractNumId w:val="12"/>
  </w:num>
  <w:num w:numId="12" w16cid:durableId="1304584639">
    <w:abstractNumId w:val="10"/>
  </w:num>
  <w:num w:numId="13" w16cid:durableId="721171787">
    <w:abstractNumId w:val="8"/>
  </w:num>
  <w:num w:numId="14" w16cid:durableId="1592349769">
    <w:abstractNumId w:val="26"/>
  </w:num>
  <w:num w:numId="15" w16cid:durableId="278998918">
    <w:abstractNumId w:val="15"/>
  </w:num>
  <w:num w:numId="16" w16cid:durableId="434713335">
    <w:abstractNumId w:val="25"/>
  </w:num>
  <w:num w:numId="17" w16cid:durableId="1786650561">
    <w:abstractNumId w:val="16"/>
  </w:num>
  <w:num w:numId="18" w16cid:durableId="119229966">
    <w:abstractNumId w:val="7"/>
  </w:num>
  <w:num w:numId="19" w16cid:durableId="773282714">
    <w:abstractNumId w:val="21"/>
  </w:num>
  <w:num w:numId="20" w16cid:durableId="1943295931">
    <w:abstractNumId w:val="1"/>
  </w:num>
  <w:num w:numId="21" w16cid:durableId="721640857">
    <w:abstractNumId w:val="30"/>
  </w:num>
  <w:num w:numId="22" w16cid:durableId="1167212164">
    <w:abstractNumId w:val="31"/>
  </w:num>
  <w:num w:numId="23" w16cid:durableId="240023206">
    <w:abstractNumId w:val="22"/>
  </w:num>
  <w:num w:numId="24" w16cid:durableId="191648044">
    <w:abstractNumId w:val="11"/>
  </w:num>
  <w:num w:numId="25" w16cid:durableId="473066965">
    <w:abstractNumId w:val="20"/>
  </w:num>
  <w:num w:numId="26" w16cid:durableId="1489638411">
    <w:abstractNumId w:val="18"/>
  </w:num>
  <w:num w:numId="27" w16cid:durableId="1422525457">
    <w:abstractNumId w:val="17"/>
  </w:num>
  <w:num w:numId="28" w16cid:durableId="653946618">
    <w:abstractNumId w:val="4"/>
  </w:num>
  <w:num w:numId="29" w16cid:durableId="1543327048">
    <w:abstractNumId w:val="32"/>
  </w:num>
  <w:num w:numId="30" w16cid:durableId="991716118">
    <w:abstractNumId w:val="13"/>
  </w:num>
  <w:num w:numId="31" w16cid:durableId="737675157">
    <w:abstractNumId w:val="14"/>
  </w:num>
  <w:num w:numId="32" w16cid:durableId="526335178">
    <w:abstractNumId w:val="9"/>
  </w:num>
  <w:num w:numId="33" w16cid:durableId="1432161911">
    <w:abstractNumId w:val="5"/>
  </w:num>
  <w:num w:numId="34" w16cid:durableId="463815305">
    <w:abstractNumId w:val="24"/>
  </w:num>
  <w:num w:numId="35" w16cid:durableId="14510462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477E"/>
    <w:rsid w:val="00054A22"/>
    <w:rsid w:val="00062023"/>
    <w:rsid w:val="000655A6"/>
    <w:rsid w:val="00071312"/>
    <w:rsid w:val="00077697"/>
    <w:rsid w:val="00080512"/>
    <w:rsid w:val="0009500A"/>
    <w:rsid w:val="00096CD8"/>
    <w:rsid w:val="000A365D"/>
    <w:rsid w:val="000A46CB"/>
    <w:rsid w:val="000A68F3"/>
    <w:rsid w:val="000B4E6A"/>
    <w:rsid w:val="000B7599"/>
    <w:rsid w:val="000C1B24"/>
    <w:rsid w:val="000C47C3"/>
    <w:rsid w:val="000D2AB6"/>
    <w:rsid w:val="000D2C4B"/>
    <w:rsid w:val="000D58AB"/>
    <w:rsid w:val="000E3702"/>
    <w:rsid w:val="000E46D7"/>
    <w:rsid w:val="000F1D2A"/>
    <w:rsid w:val="000F3400"/>
    <w:rsid w:val="000F42F7"/>
    <w:rsid w:val="000F4BE8"/>
    <w:rsid w:val="000F5D71"/>
    <w:rsid w:val="00101EB9"/>
    <w:rsid w:val="00104BC6"/>
    <w:rsid w:val="00112A20"/>
    <w:rsid w:val="00112D80"/>
    <w:rsid w:val="00114E2C"/>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6A20"/>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7926"/>
    <w:rsid w:val="00254E0F"/>
    <w:rsid w:val="00255247"/>
    <w:rsid w:val="002557C8"/>
    <w:rsid w:val="002600B9"/>
    <w:rsid w:val="00261DE3"/>
    <w:rsid w:val="00262167"/>
    <w:rsid w:val="002654F1"/>
    <w:rsid w:val="002675F0"/>
    <w:rsid w:val="00276EE4"/>
    <w:rsid w:val="00285890"/>
    <w:rsid w:val="002868F0"/>
    <w:rsid w:val="00287B8F"/>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19C"/>
    <w:rsid w:val="003348D2"/>
    <w:rsid w:val="003358E2"/>
    <w:rsid w:val="0033606D"/>
    <w:rsid w:val="00336438"/>
    <w:rsid w:val="003378AE"/>
    <w:rsid w:val="0034052F"/>
    <w:rsid w:val="00340CDF"/>
    <w:rsid w:val="0034273B"/>
    <w:rsid w:val="00345425"/>
    <w:rsid w:val="0034735C"/>
    <w:rsid w:val="003523D8"/>
    <w:rsid w:val="0035462D"/>
    <w:rsid w:val="00357075"/>
    <w:rsid w:val="003650C3"/>
    <w:rsid w:val="0036620E"/>
    <w:rsid w:val="00370A9A"/>
    <w:rsid w:val="00371558"/>
    <w:rsid w:val="0037264F"/>
    <w:rsid w:val="003765B8"/>
    <w:rsid w:val="003844E2"/>
    <w:rsid w:val="00384F83"/>
    <w:rsid w:val="003A0483"/>
    <w:rsid w:val="003B0393"/>
    <w:rsid w:val="003B4652"/>
    <w:rsid w:val="003C3971"/>
    <w:rsid w:val="003C4D69"/>
    <w:rsid w:val="003C561B"/>
    <w:rsid w:val="003D37E2"/>
    <w:rsid w:val="003D4522"/>
    <w:rsid w:val="003E2C78"/>
    <w:rsid w:val="003E7753"/>
    <w:rsid w:val="003F07E3"/>
    <w:rsid w:val="003F5675"/>
    <w:rsid w:val="003F6793"/>
    <w:rsid w:val="0040110C"/>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A603D"/>
    <w:rsid w:val="004A6B02"/>
    <w:rsid w:val="004B0ECB"/>
    <w:rsid w:val="004C1601"/>
    <w:rsid w:val="004C21DF"/>
    <w:rsid w:val="004C5265"/>
    <w:rsid w:val="004D3578"/>
    <w:rsid w:val="004D7E14"/>
    <w:rsid w:val="004E0E90"/>
    <w:rsid w:val="004E213A"/>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365D"/>
    <w:rsid w:val="005B3CCF"/>
    <w:rsid w:val="005C2A4F"/>
    <w:rsid w:val="005C4000"/>
    <w:rsid w:val="005C422A"/>
    <w:rsid w:val="005D0DD2"/>
    <w:rsid w:val="005D2E01"/>
    <w:rsid w:val="005D7526"/>
    <w:rsid w:val="005E683B"/>
    <w:rsid w:val="005E69AE"/>
    <w:rsid w:val="005F4B4C"/>
    <w:rsid w:val="005F4CDD"/>
    <w:rsid w:val="005F5B2B"/>
    <w:rsid w:val="005F6269"/>
    <w:rsid w:val="00602AEA"/>
    <w:rsid w:val="00607E3C"/>
    <w:rsid w:val="00614FDF"/>
    <w:rsid w:val="00617ED4"/>
    <w:rsid w:val="00623C82"/>
    <w:rsid w:val="006246A7"/>
    <w:rsid w:val="0062595A"/>
    <w:rsid w:val="00632B45"/>
    <w:rsid w:val="006343D6"/>
    <w:rsid w:val="0063543D"/>
    <w:rsid w:val="006459B5"/>
    <w:rsid w:val="00647114"/>
    <w:rsid w:val="00662A4B"/>
    <w:rsid w:val="0066731C"/>
    <w:rsid w:val="006753FB"/>
    <w:rsid w:val="006759E6"/>
    <w:rsid w:val="00685171"/>
    <w:rsid w:val="006A0145"/>
    <w:rsid w:val="006A016F"/>
    <w:rsid w:val="006A323F"/>
    <w:rsid w:val="006B30D0"/>
    <w:rsid w:val="006C0AD3"/>
    <w:rsid w:val="006C3D95"/>
    <w:rsid w:val="006C79D3"/>
    <w:rsid w:val="006D1E99"/>
    <w:rsid w:val="006D67E7"/>
    <w:rsid w:val="006E2A42"/>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10E8D"/>
    <w:rsid w:val="00820B25"/>
    <w:rsid w:val="00820E0F"/>
    <w:rsid w:val="00821AEF"/>
    <w:rsid w:val="00826E3B"/>
    <w:rsid w:val="00830747"/>
    <w:rsid w:val="00831714"/>
    <w:rsid w:val="00833062"/>
    <w:rsid w:val="00833358"/>
    <w:rsid w:val="008340FF"/>
    <w:rsid w:val="008366FC"/>
    <w:rsid w:val="00841896"/>
    <w:rsid w:val="0084389E"/>
    <w:rsid w:val="00843B15"/>
    <w:rsid w:val="008559EF"/>
    <w:rsid w:val="008569D0"/>
    <w:rsid w:val="00863A2E"/>
    <w:rsid w:val="00871DFA"/>
    <w:rsid w:val="008768CA"/>
    <w:rsid w:val="00881283"/>
    <w:rsid w:val="008826B0"/>
    <w:rsid w:val="008A54F8"/>
    <w:rsid w:val="008A5EFF"/>
    <w:rsid w:val="008B2D3A"/>
    <w:rsid w:val="008C1634"/>
    <w:rsid w:val="008C384C"/>
    <w:rsid w:val="008C4A39"/>
    <w:rsid w:val="008D3F18"/>
    <w:rsid w:val="008E112D"/>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1D34"/>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040"/>
    <w:rsid w:val="00AC135F"/>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654C"/>
    <w:rsid w:val="00B43A3F"/>
    <w:rsid w:val="00B44E1F"/>
    <w:rsid w:val="00B4615A"/>
    <w:rsid w:val="00B60B51"/>
    <w:rsid w:val="00B61EEA"/>
    <w:rsid w:val="00B620CD"/>
    <w:rsid w:val="00B62DE3"/>
    <w:rsid w:val="00B64997"/>
    <w:rsid w:val="00B763CA"/>
    <w:rsid w:val="00B774BF"/>
    <w:rsid w:val="00B83171"/>
    <w:rsid w:val="00B838F7"/>
    <w:rsid w:val="00B913A1"/>
    <w:rsid w:val="00B93086"/>
    <w:rsid w:val="00BA19ED"/>
    <w:rsid w:val="00BA300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6810"/>
    <w:rsid w:val="00C33079"/>
    <w:rsid w:val="00C34DDA"/>
    <w:rsid w:val="00C353F4"/>
    <w:rsid w:val="00C45231"/>
    <w:rsid w:val="00C63D49"/>
    <w:rsid w:val="00C72833"/>
    <w:rsid w:val="00C7616D"/>
    <w:rsid w:val="00C80F1D"/>
    <w:rsid w:val="00C82174"/>
    <w:rsid w:val="00C83BD4"/>
    <w:rsid w:val="00C93F40"/>
    <w:rsid w:val="00C95679"/>
    <w:rsid w:val="00C9693D"/>
    <w:rsid w:val="00C969B2"/>
    <w:rsid w:val="00CA3D0C"/>
    <w:rsid w:val="00CA7102"/>
    <w:rsid w:val="00CB445C"/>
    <w:rsid w:val="00CB4F7A"/>
    <w:rsid w:val="00CB51CC"/>
    <w:rsid w:val="00CC59FA"/>
    <w:rsid w:val="00CD0EA6"/>
    <w:rsid w:val="00CD45C9"/>
    <w:rsid w:val="00CD655A"/>
    <w:rsid w:val="00CE4C40"/>
    <w:rsid w:val="00CF20E3"/>
    <w:rsid w:val="00CF78DE"/>
    <w:rsid w:val="00D008D3"/>
    <w:rsid w:val="00D04514"/>
    <w:rsid w:val="00D05632"/>
    <w:rsid w:val="00D074E7"/>
    <w:rsid w:val="00D07C26"/>
    <w:rsid w:val="00D17573"/>
    <w:rsid w:val="00D3057E"/>
    <w:rsid w:val="00D309C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5C6A"/>
    <w:rsid w:val="00E77645"/>
    <w:rsid w:val="00E834B8"/>
    <w:rsid w:val="00E84530"/>
    <w:rsid w:val="00E85A25"/>
    <w:rsid w:val="00E87309"/>
    <w:rsid w:val="00E87A96"/>
    <w:rsid w:val="00EA59EF"/>
    <w:rsid w:val="00EB22F4"/>
    <w:rsid w:val="00EC3517"/>
    <w:rsid w:val="00EC454E"/>
    <w:rsid w:val="00EC4A25"/>
    <w:rsid w:val="00ED2E9E"/>
    <w:rsid w:val="00EE0D55"/>
    <w:rsid w:val="00EE2719"/>
    <w:rsid w:val="00EE4AD0"/>
    <w:rsid w:val="00EE57BC"/>
    <w:rsid w:val="00EE5AA7"/>
    <w:rsid w:val="00EF433E"/>
    <w:rsid w:val="00EF4B21"/>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AEB"/>
    <w:rsid w:val="00F63709"/>
    <w:rsid w:val="00F63841"/>
    <w:rsid w:val="00F64730"/>
    <w:rsid w:val="00F653B8"/>
    <w:rsid w:val="00F70647"/>
    <w:rsid w:val="00F75917"/>
    <w:rsid w:val="00FA1266"/>
    <w:rsid w:val="00FA2910"/>
    <w:rsid w:val="00FA65D0"/>
    <w:rsid w:val="00FB56EC"/>
    <w:rsid w:val="00FC1192"/>
    <w:rsid w:val="00FC3923"/>
    <w:rsid w:val="00FC41AB"/>
    <w:rsid w:val="00FC671A"/>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355</TotalTime>
  <Pages>2</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49</cp:revision>
  <cp:lastPrinted>2019-02-25T14:05:00Z</cp:lastPrinted>
  <dcterms:created xsi:type="dcterms:W3CDTF">2022-05-26T22:56:00Z</dcterms:created>
  <dcterms:modified xsi:type="dcterms:W3CDTF">2022-08-10T21:19:00Z</dcterms:modified>
  <cp:category/>
</cp:coreProperties>
</file>